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1152" w:type="dxa"/>
        <w:tblLook w:val="01E0"/>
      </w:tblPr>
      <w:tblGrid>
        <w:gridCol w:w="2520"/>
        <w:gridCol w:w="6120"/>
        <w:gridCol w:w="2520"/>
      </w:tblGrid>
      <w:tr w:rsidR="007C59BE" w:rsidTr="007C59BE">
        <w:tc>
          <w:tcPr>
            <w:tcW w:w="2520" w:type="dxa"/>
          </w:tcPr>
          <w:p w:rsidR="007C59BE" w:rsidRDefault="008E7E43" w:rsidP="00571ACE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680085</wp:posOffset>
                  </wp:positionH>
                  <wp:positionV relativeFrom="paragraph">
                    <wp:posOffset>50800</wp:posOffset>
                  </wp:positionV>
                  <wp:extent cx="438150" cy="552450"/>
                  <wp:effectExtent l="19050" t="0" r="0" b="0"/>
                  <wp:wrapNone/>
                  <wp:docPr id="3" name="Picture 3" descr="GovernmentLogo- high resol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overnmentLogo- high resol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20" w:type="dxa"/>
          </w:tcPr>
          <w:p w:rsidR="007C59BE" w:rsidRPr="00257063" w:rsidRDefault="007C59BE" w:rsidP="00571ACE">
            <w:pPr>
              <w:jc w:val="center"/>
              <w:rPr>
                <w:rFonts w:ascii="Albertus" w:hAnsi="Albertus" w:cs="Microsoft Sans Serif"/>
                <w:b/>
                <w:sz w:val="42"/>
              </w:rPr>
            </w:pPr>
            <w:r w:rsidRPr="00257063">
              <w:rPr>
                <w:rFonts w:ascii="Albertus" w:hAnsi="Albertus" w:cs="Microsoft Sans Serif"/>
                <w:b/>
                <w:sz w:val="42"/>
              </w:rPr>
              <w:t>Lahore Garment City Company</w:t>
            </w:r>
          </w:p>
          <w:p w:rsidR="007C59BE" w:rsidRPr="005D5E0C" w:rsidRDefault="007C59BE" w:rsidP="00571ACE">
            <w:pPr>
              <w:jc w:val="center"/>
              <w:rPr>
                <w:rFonts w:ascii="Microsoft Sans Serif" w:hAnsi="Microsoft Sans Serif" w:cs="Microsoft Sans Serif"/>
                <w:sz w:val="22"/>
              </w:rPr>
            </w:pPr>
            <w:r w:rsidRPr="005D5E0C">
              <w:rPr>
                <w:rFonts w:ascii="Microsoft Sans Serif" w:hAnsi="Microsoft Sans Serif" w:cs="Microsoft Sans Serif"/>
                <w:sz w:val="22"/>
              </w:rPr>
              <w:t>A Project of Ministry of Textile Industry</w:t>
            </w:r>
          </w:p>
          <w:p w:rsidR="007C59BE" w:rsidRDefault="007C59BE" w:rsidP="00571ACE">
            <w:pPr>
              <w:jc w:val="center"/>
            </w:pPr>
            <w:r w:rsidRPr="005D5E0C">
              <w:rPr>
                <w:rFonts w:ascii="Microsoft Sans Serif" w:hAnsi="Microsoft Sans Serif" w:cs="Microsoft Sans Serif"/>
                <w:sz w:val="22"/>
              </w:rPr>
              <w:t>Government of Pakistan</w:t>
            </w:r>
          </w:p>
        </w:tc>
        <w:tc>
          <w:tcPr>
            <w:tcW w:w="2520" w:type="dxa"/>
          </w:tcPr>
          <w:p w:rsidR="007C59BE" w:rsidRDefault="008E7E43" w:rsidP="00571ACE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31750</wp:posOffset>
                  </wp:positionV>
                  <wp:extent cx="514350" cy="571500"/>
                  <wp:effectExtent l="19050" t="0" r="0" b="0"/>
                  <wp:wrapNone/>
                  <wp:docPr id="2" name="Picture 2" descr="LG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G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C59BE" w:rsidRDefault="007C59BE" w:rsidP="000A6194"/>
    <w:p w:rsidR="004B7C53" w:rsidRDefault="00F45F46" w:rsidP="000A6194">
      <w:pPr>
        <w:rPr>
          <w:b/>
          <w:sz w:val="32"/>
          <w:szCs w:val="32"/>
          <w:u w:val="single"/>
        </w:rPr>
      </w:pPr>
      <w:r>
        <w:tab/>
      </w:r>
      <w:r>
        <w:tab/>
      </w:r>
      <w:r>
        <w:tab/>
      </w:r>
      <w:r>
        <w:tab/>
      </w:r>
      <w:r w:rsidRPr="00F45F46">
        <w:rPr>
          <w:b/>
          <w:sz w:val="32"/>
          <w:szCs w:val="32"/>
          <w:u w:val="single"/>
        </w:rPr>
        <w:t>TENDER NOTICE</w:t>
      </w:r>
    </w:p>
    <w:p w:rsidR="00F45F46" w:rsidRPr="000A6194" w:rsidRDefault="00F45F46" w:rsidP="000A6194">
      <w:pPr>
        <w:rPr>
          <w:b/>
          <w:sz w:val="18"/>
          <w:szCs w:val="32"/>
          <w:u w:val="single"/>
        </w:rPr>
      </w:pPr>
    </w:p>
    <w:p w:rsidR="004B7C53" w:rsidRPr="000A6194" w:rsidRDefault="00F45F46" w:rsidP="000A6194">
      <w:pPr>
        <w:jc w:val="both"/>
        <w:rPr>
          <w:sz w:val="22"/>
          <w:szCs w:val="22"/>
        </w:rPr>
      </w:pPr>
      <w:r w:rsidRPr="000A6194">
        <w:rPr>
          <w:sz w:val="22"/>
          <w:szCs w:val="22"/>
        </w:rPr>
        <w:t xml:space="preserve">The Lahore Garment City Company is a project of Ministry of Textile Industry, Government of Pakistan. LGCC </w:t>
      </w:r>
      <w:r w:rsidR="009A7F03" w:rsidRPr="000A6194">
        <w:rPr>
          <w:sz w:val="22"/>
          <w:szCs w:val="22"/>
        </w:rPr>
        <w:t>is setting up a Garment City at Plot No. 143-146, 151-155 in</w:t>
      </w:r>
      <w:r w:rsidR="00086413" w:rsidRPr="000A6194">
        <w:rPr>
          <w:sz w:val="22"/>
          <w:szCs w:val="22"/>
        </w:rPr>
        <w:t xml:space="preserve"> </w:t>
      </w:r>
      <w:r w:rsidRPr="000A6194">
        <w:rPr>
          <w:sz w:val="22"/>
          <w:szCs w:val="22"/>
        </w:rPr>
        <w:t xml:space="preserve">Sundar Industrial Estate, </w:t>
      </w:r>
      <w:r w:rsidR="005E683C">
        <w:rPr>
          <w:sz w:val="22"/>
          <w:szCs w:val="22"/>
        </w:rPr>
        <w:t>7-K</w:t>
      </w:r>
      <w:r w:rsidR="00DE7802">
        <w:rPr>
          <w:sz w:val="22"/>
          <w:szCs w:val="22"/>
        </w:rPr>
        <w:t>M</w:t>
      </w:r>
      <w:r w:rsidR="005E683C">
        <w:rPr>
          <w:sz w:val="22"/>
          <w:szCs w:val="22"/>
        </w:rPr>
        <w:t xml:space="preserve">, </w:t>
      </w:r>
      <w:r w:rsidR="009A7F03" w:rsidRPr="000A6194">
        <w:rPr>
          <w:sz w:val="22"/>
          <w:szCs w:val="22"/>
        </w:rPr>
        <w:t>Sundar</w:t>
      </w:r>
      <w:r w:rsidR="005E683C">
        <w:rPr>
          <w:sz w:val="22"/>
          <w:szCs w:val="22"/>
        </w:rPr>
        <w:t xml:space="preserve"> Raiwind</w:t>
      </w:r>
      <w:r w:rsidR="009A7F03" w:rsidRPr="000A6194">
        <w:rPr>
          <w:sz w:val="22"/>
          <w:szCs w:val="22"/>
        </w:rPr>
        <w:t xml:space="preserve">, </w:t>
      </w:r>
      <w:r w:rsidR="008073B6" w:rsidRPr="000A6194">
        <w:rPr>
          <w:sz w:val="22"/>
          <w:szCs w:val="22"/>
        </w:rPr>
        <w:t>Lahore</w:t>
      </w:r>
      <w:r w:rsidRPr="000A6194">
        <w:rPr>
          <w:sz w:val="22"/>
          <w:szCs w:val="22"/>
        </w:rPr>
        <w:t>.</w:t>
      </w:r>
    </w:p>
    <w:p w:rsidR="009A7F03" w:rsidRPr="000A6194" w:rsidRDefault="009A7F03" w:rsidP="000A6194">
      <w:pPr>
        <w:jc w:val="both"/>
        <w:rPr>
          <w:sz w:val="22"/>
          <w:szCs w:val="22"/>
        </w:rPr>
      </w:pPr>
    </w:p>
    <w:p w:rsidR="00D1020D" w:rsidRPr="000A6194" w:rsidRDefault="00690C5D" w:rsidP="000A6194">
      <w:pPr>
        <w:jc w:val="both"/>
        <w:rPr>
          <w:sz w:val="22"/>
          <w:szCs w:val="22"/>
        </w:rPr>
      </w:pPr>
      <w:r w:rsidRPr="000A6194">
        <w:rPr>
          <w:sz w:val="22"/>
          <w:szCs w:val="22"/>
        </w:rPr>
        <w:t>Sealed tenders are invited fr</w:t>
      </w:r>
      <w:r w:rsidR="00F45F46" w:rsidRPr="000A6194">
        <w:rPr>
          <w:sz w:val="22"/>
          <w:szCs w:val="22"/>
        </w:rPr>
        <w:t>om firms of repute holding PEC Contractors L</w:t>
      </w:r>
      <w:r w:rsidRPr="000A6194">
        <w:rPr>
          <w:sz w:val="22"/>
          <w:szCs w:val="22"/>
        </w:rPr>
        <w:t xml:space="preserve">icense </w:t>
      </w:r>
      <w:r w:rsidR="00D157D6" w:rsidRPr="000A6194">
        <w:rPr>
          <w:sz w:val="22"/>
          <w:szCs w:val="22"/>
        </w:rPr>
        <w:t>in relevant category</w:t>
      </w:r>
      <w:r w:rsidR="00CE069F" w:rsidRPr="000A6194">
        <w:rPr>
          <w:sz w:val="22"/>
          <w:szCs w:val="22"/>
        </w:rPr>
        <w:t xml:space="preserve"> </w:t>
      </w:r>
      <w:r w:rsidR="00F45F46" w:rsidRPr="000A6194">
        <w:rPr>
          <w:sz w:val="22"/>
          <w:szCs w:val="22"/>
        </w:rPr>
        <w:t>a</w:t>
      </w:r>
      <w:r w:rsidR="00B64177" w:rsidRPr="000A6194">
        <w:rPr>
          <w:sz w:val="22"/>
          <w:szCs w:val="22"/>
        </w:rPr>
        <w:t>nd have completed similar works.</w:t>
      </w:r>
      <w:r w:rsidR="00086413" w:rsidRPr="000A6194">
        <w:rPr>
          <w:sz w:val="22"/>
          <w:szCs w:val="22"/>
        </w:rPr>
        <w:t xml:space="preserve"> </w:t>
      </w:r>
      <w:r w:rsidRPr="000A6194">
        <w:rPr>
          <w:sz w:val="22"/>
          <w:szCs w:val="22"/>
        </w:rPr>
        <w:t>The tender</w:t>
      </w:r>
      <w:r w:rsidR="00F45F46" w:rsidRPr="000A6194">
        <w:rPr>
          <w:sz w:val="22"/>
          <w:szCs w:val="22"/>
        </w:rPr>
        <w:t>s</w:t>
      </w:r>
      <w:r w:rsidRPr="000A6194">
        <w:rPr>
          <w:sz w:val="22"/>
          <w:szCs w:val="22"/>
        </w:rPr>
        <w:t xml:space="preserve"> duly filled in along with earnest money equivalent to</w:t>
      </w:r>
      <w:r w:rsidR="005E683C">
        <w:rPr>
          <w:sz w:val="22"/>
          <w:szCs w:val="22"/>
        </w:rPr>
        <w:t xml:space="preserve"> minimum </w:t>
      </w:r>
      <w:r w:rsidRPr="000A6194">
        <w:rPr>
          <w:sz w:val="22"/>
          <w:szCs w:val="22"/>
        </w:rPr>
        <w:t>2% of the tendered value in form of pay order/demand draft in favour of Lahore Garment City Co</w:t>
      </w:r>
      <w:r w:rsidR="0046749A">
        <w:rPr>
          <w:sz w:val="22"/>
          <w:szCs w:val="22"/>
        </w:rPr>
        <w:t xml:space="preserve"> </w:t>
      </w:r>
      <w:r w:rsidR="0046749A">
        <w:t xml:space="preserve">will be received in the office of the undersigned by </w:t>
      </w:r>
      <w:r w:rsidR="004645BB" w:rsidRPr="004645BB">
        <w:rPr>
          <w:b/>
        </w:rPr>
        <w:t>8</w:t>
      </w:r>
      <w:r w:rsidR="00D53D9F" w:rsidRPr="00D53D9F">
        <w:rPr>
          <w:b/>
          <w:vertAlign w:val="superscript"/>
        </w:rPr>
        <w:t>th</w:t>
      </w:r>
      <w:r w:rsidR="00D53D9F" w:rsidRPr="00D53D9F">
        <w:rPr>
          <w:b/>
        </w:rPr>
        <w:t xml:space="preserve"> </w:t>
      </w:r>
      <w:r w:rsidR="004645BB">
        <w:rPr>
          <w:b/>
        </w:rPr>
        <w:t>December</w:t>
      </w:r>
      <w:r w:rsidR="00D53D9F" w:rsidRPr="00D53D9F">
        <w:rPr>
          <w:b/>
        </w:rPr>
        <w:t>, 2014</w:t>
      </w:r>
      <w:r w:rsidR="0046749A">
        <w:t xml:space="preserve"> till</w:t>
      </w:r>
      <w:r w:rsidR="00AB5266">
        <w:t xml:space="preserve">         </w:t>
      </w:r>
      <w:r w:rsidR="003542E6" w:rsidRPr="003542E6">
        <w:rPr>
          <w:b/>
        </w:rPr>
        <w:t>09</w:t>
      </w:r>
      <w:r w:rsidR="0046749A">
        <w:rPr>
          <w:b/>
          <w:sz w:val="26"/>
        </w:rPr>
        <w:t>:</w:t>
      </w:r>
      <w:r w:rsidR="003542E6">
        <w:rPr>
          <w:b/>
          <w:sz w:val="26"/>
        </w:rPr>
        <w:t>3</w:t>
      </w:r>
      <w:r w:rsidR="0046749A" w:rsidRPr="00E85574">
        <w:rPr>
          <w:b/>
          <w:sz w:val="26"/>
        </w:rPr>
        <w:t>0 AM</w:t>
      </w:r>
      <w:r w:rsidR="0046749A">
        <w:rPr>
          <w:b/>
          <w:sz w:val="26"/>
        </w:rPr>
        <w:t>.</w:t>
      </w:r>
      <w:r w:rsidR="0046749A">
        <w:t xml:space="preserve"> </w:t>
      </w:r>
      <w:r w:rsidR="00D1020D" w:rsidRPr="000A6194">
        <w:rPr>
          <w:sz w:val="22"/>
          <w:szCs w:val="22"/>
        </w:rPr>
        <w:t>Following guideline must be noticed:</w:t>
      </w:r>
    </w:p>
    <w:p w:rsidR="000A6194" w:rsidRDefault="000A6194" w:rsidP="000A6194">
      <w:pPr>
        <w:pStyle w:val="ListParagraph"/>
        <w:tabs>
          <w:tab w:val="left" w:pos="-5760"/>
        </w:tabs>
        <w:jc w:val="both"/>
        <w:rPr>
          <w:sz w:val="22"/>
          <w:szCs w:val="22"/>
        </w:rPr>
      </w:pPr>
    </w:p>
    <w:p w:rsidR="00D1020D" w:rsidRPr="000A6194" w:rsidRDefault="00D1020D" w:rsidP="000A6194">
      <w:pPr>
        <w:pStyle w:val="ListParagraph"/>
        <w:numPr>
          <w:ilvl w:val="0"/>
          <w:numId w:val="4"/>
        </w:numPr>
        <w:tabs>
          <w:tab w:val="left" w:pos="-5760"/>
        </w:tabs>
        <w:jc w:val="both"/>
        <w:rPr>
          <w:sz w:val="22"/>
          <w:szCs w:val="22"/>
        </w:rPr>
      </w:pPr>
      <w:r w:rsidRPr="000A6194">
        <w:rPr>
          <w:sz w:val="22"/>
          <w:szCs w:val="22"/>
        </w:rPr>
        <w:t>Both “Technical Bids” and “Priced Bids” must be submitted in two separate sealed inner envelope “1-Technical Bids” and “2-Priced Bids” which should be packed in one other envelope. The Bid Security should be enclosed with “</w:t>
      </w:r>
      <w:r w:rsidR="00657156" w:rsidRPr="000A6194">
        <w:rPr>
          <w:sz w:val="22"/>
          <w:szCs w:val="22"/>
        </w:rPr>
        <w:t>Technical</w:t>
      </w:r>
      <w:r w:rsidRPr="000A6194">
        <w:rPr>
          <w:sz w:val="22"/>
          <w:szCs w:val="22"/>
        </w:rPr>
        <w:t xml:space="preserve"> Bids”</w:t>
      </w:r>
    </w:p>
    <w:p w:rsidR="000A6194" w:rsidRPr="001D06D5" w:rsidRDefault="000A6194" w:rsidP="000A6194">
      <w:pPr>
        <w:pStyle w:val="ListParagraph"/>
        <w:tabs>
          <w:tab w:val="left" w:pos="-5760"/>
        </w:tabs>
        <w:jc w:val="both"/>
        <w:rPr>
          <w:sz w:val="10"/>
          <w:szCs w:val="22"/>
        </w:rPr>
      </w:pPr>
    </w:p>
    <w:p w:rsidR="00D1020D" w:rsidRPr="000A6194" w:rsidRDefault="00D1020D" w:rsidP="000A6194">
      <w:pPr>
        <w:pStyle w:val="ListParagraph"/>
        <w:numPr>
          <w:ilvl w:val="0"/>
          <w:numId w:val="4"/>
        </w:numPr>
        <w:tabs>
          <w:tab w:val="left" w:pos="-5760"/>
        </w:tabs>
        <w:jc w:val="both"/>
        <w:rPr>
          <w:sz w:val="22"/>
          <w:szCs w:val="22"/>
        </w:rPr>
      </w:pPr>
      <w:r w:rsidRPr="000A6194">
        <w:rPr>
          <w:sz w:val="22"/>
          <w:szCs w:val="22"/>
        </w:rPr>
        <w:t>“Technical Bids” will be opened</w:t>
      </w:r>
      <w:r w:rsidR="00CB5FCB" w:rsidRPr="000A6194">
        <w:rPr>
          <w:sz w:val="22"/>
          <w:szCs w:val="22"/>
        </w:rPr>
        <w:t xml:space="preserve"> on </w:t>
      </w:r>
      <w:r w:rsidR="004645BB" w:rsidRPr="004645BB">
        <w:rPr>
          <w:b/>
        </w:rPr>
        <w:t>8</w:t>
      </w:r>
      <w:r w:rsidR="004645BB" w:rsidRPr="00D53D9F">
        <w:rPr>
          <w:b/>
          <w:vertAlign w:val="superscript"/>
        </w:rPr>
        <w:t>th</w:t>
      </w:r>
      <w:r w:rsidR="004645BB" w:rsidRPr="00D53D9F">
        <w:rPr>
          <w:b/>
        </w:rPr>
        <w:t xml:space="preserve"> </w:t>
      </w:r>
      <w:r w:rsidR="004645BB">
        <w:rPr>
          <w:b/>
        </w:rPr>
        <w:t>December</w:t>
      </w:r>
      <w:r w:rsidR="004645BB" w:rsidRPr="00D53D9F">
        <w:rPr>
          <w:b/>
        </w:rPr>
        <w:t>, 2014</w:t>
      </w:r>
      <w:r w:rsidR="004645BB">
        <w:t xml:space="preserve"> </w:t>
      </w:r>
      <w:r w:rsidR="00CB5FCB" w:rsidRPr="000A6194">
        <w:rPr>
          <w:sz w:val="22"/>
          <w:szCs w:val="22"/>
        </w:rPr>
        <w:t xml:space="preserve">at </w:t>
      </w:r>
      <w:r w:rsidR="00CB5FCB" w:rsidRPr="000A6194">
        <w:rPr>
          <w:b/>
          <w:sz w:val="22"/>
          <w:szCs w:val="22"/>
        </w:rPr>
        <w:t>1</w:t>
      </w:r>
      <w:r w:rsidR="003542E6">
        <w:rPr>
          <w:b/>
          <w:sz w:val="22"/>
          <w:szCs w:val="22"/>
        </w:rPr>
        <w:t>0</w:t>
      </w:r>
      <w:r w:rsidR="00CB5FCB" w:rsidRPr="000A6194">
        <w:rPr>
          <w:b/>
          <w:sz w:val="22"/>
          <w:szCs w:val="22"/>
        </w:rPr>
        <w:t>:</w:t>
      </w:r>
      <w:r w:rsidR="003542E6">
        <w:rPr>
          <w:b/>
          <w:sz w:val="22"/>
          <w:szCs w:val="22"/>
        </w:rPr>
        <w:t>0</w:t>
      </w:r>
      <w:r w:rsidR="00CB5FCB" w:rsidRPr="000A6194">
        <w:rPr>
          <w:b/>
          <w:sz w:val="22"/>
          <w:szCs w:val="22"/>
        </w:rPr>
        <w:t>0 AM</w:t>
      </w:r>
      <w:r w:rsidRPr="000A6194">
        <w:rPr>
          <w:sz w:val="22"/>
          <w:szCs w:val="22"/>
        </w:rPr>
        <w:t xml:space="preserve"> in the presence of bidder / bidder’</w:t>
      </w:r>
      <w:r w:rsidR="006402F8" w:rsidRPr="000A6194">
        <w:rPr>
          <w:sz w:val="22"/>
          <w:szCs w:val="22"/>
        </w:rPr>
        <w:t>s</w:t>
      </w:r>
      <w:r w:rsidRPr="000A6194">
        <w:rPr>
          <w:sz w:val="22"/>
          <w:szCs w:val="22"/>
        </w:rPr>
        <w:t xml:space="preserve"> representatives who choose to attend</w:t>
      </w:r>
      <w:r w:rsidR="0039310A" w:rsidRPr="000A6194">
        <w:rPr>
          <w:sz w:val="22"/>
          <w:szCs w:val="22"/>
        </w:rPr>
        <w:t>,</w:t>
      </w:r>
      <w:r w:rsidRPr="000A6194">
        <w:rPr>
          <w:sz w:val="22"/>
          <w:szCs w:val="22"/>
        </w:rPr>
        <w:t xml:space="preserve"> while the “Priced Bids” will be opened later on after the e</w:t>
      </w:r>
      <w:r w:rsidR="00CB5FCB" w:rsidRPr="000A6194">
        <w:rPr>
          <w:sz w:val="22"/>
          <w:szCs w:val="22"/>
        </w:rPr>
        <w:t>valua</w:t>
      </w:r>
      <w:r w:rsidRPr="000A6194">
        <w:rPr>
          <w:sz w:val="22"/>
          <w:szCs w:val="22"/>
        </w:rPr>
        <w:t>tion of the Technical Bids. “Priced Bids” of only Technically Qualified responsive bidders will be opened while the priced Bids of Technically unqualified bidders will be returned unopened.</w:t>
      </w:r>
    </w:p>
    <w:p w:rsidR="000A6194" w:rsidRPr="001D06D5" w:rsidRDefault="000A6194" w:rsidP="000A6194">
      <w:pPr>
        <w:pStyle w:val="ListParagraph"/>
        <w:tabs>
          <w:tab w:val="left" w:pos="-5760"/>
        </w:tabs>
        <w:jc w:val="both"/>
        <w:rPr>
          <w:sz w:val="10"/>
          <w:szCs w:val="22"/>
        </w:rPr>
      </w:pPr>
    </w:p>
    <w:p w:rsidR="00D1020D" w:rsidRPr="000A6194" w:rsidRDefault="00D1020D" w:rsidP="000A6194">
      <w:pPr>
        <w:pStyle w:val="ListParagraph"/>
        <w:numPr>
          <w:ilvl w:val="0"/>
          <w:numId w:val="4"/>
        </w:numPr>
        <w:tabs>
          <w:tab w:val="left" w:pos="-5760"/>
        </w:tabs>
        <w:jc w:val="both"/>
        <w:rPr>
          <w:sz w:val="22"/>
          <w:szCs w:val="22"/>
        </w:rPr>
      </w:pPr>
      <w:r w:rsidRPr="000A6194">
        <w:rPr>
          <w:sz w:val="22"/>
          <w:szCs w:val="22"/>
        </w:rPr>
        <w:t xml:space="preserve">Conditional, incomplete, unsigned and bid filled with lead </w:t>
      </w:r>
      <w:r w:rsidR="00CB5FCB" w:rsidRPr="000A6194">
        <w:rPr>
          <w:sz w:val="22"/>
          <w:szCs w:val="22"/>
        </w:rPr>
        <w:t xml:space="preserve">pencils </w:t>
      </w:r>
      <w:r w:rsidRPr="000A6194">
        <w:rPr>
          <w:sz w:val="22"/>
          <w:szCs w:val="22"/>
        </w:rPr>
        <w:t>are not acceptable at all.</w:t>
      </w:r>
    </w:p>
    <w:p w:rsidR="000A6194" w:rsidRPr="001D06D5" w:rsidRDefault="000A6194" w:rsidP="000A6194">
      <w:pPr>
        <w:pStyle w:val="ListParagraph"/>
        <w:tabs>
          <w:tab w:val="left" w:pos="-5760"/>
        </w:tabs>
        <w:jc w:val="both"/>
        <w:rPr>
          <w:sz w:val="10"/>
          <w:szCs w:val="22"/>
        </w:rPr>
      </w:pPr>
    </w:p>
    <w:p w:rsidR="00D1020D" w:rsidRPr="000A6194" w:rsidRDefault="00D1020D" w:rsidP="000A6194">
      <w:pPr>
        <w:pStyle w:val="ListParagraph"/>
        <w:numPr>
          <w:ilvl w:val="0"/>
          <w:numId w:val="4"/>
        </w:numPr>
        <w:tabs>
          <w:tab w:val="left" w:pos="-5760"/>
        </w:tabs>
        <w:jc w:val="both"/>
        <w:rPr>
          <w:sz w:val="22"/>
          <w:szCs w:val="22"/>
        </w:rPr>
      </w:pPr>
      <w:r w:rsidRPr="000A6194">
        <w:rPr>
          <w:sz w:val="22"/>
          <w:szCs w:val="22"/>
        </w:rPr>
        <w:t xml:space="preserve">Usage of correction </w:t>
      </w:r>
      <w:r w:rsidR="00CB5FCB" w:rsidRPr="000A6194">
        <w:rPr>
          <w:sz w:val="22"/>
          <w:szCs w:val="22"/>
        </w:rPr>
        <w:t>fluid</w:t>
      </w:r>
      <w:r w:rsidR="00A43333" w:rsidRPr="000A6194">
        <w:rPr>
          <w:sz w:val="22"/>
          <w:szCs w:val="22"/>
        </w:rPr>
        <w:t xml:space="preserve"> and</w:t>
      </w:r>
      <w:r w:rsidRPr="000A6194">
        <w:rPr>
          <w:sz w:val="22"/>
          <w:szCs w:val="22"/>
        </w:rPr>
        <w:t xml:space="preserve"> </w:t>
      </w:r>
      <w:r w:rsidR="00CB5FCB" w:rsidRPr="000A6194">
        <w:rPr>
          <w:sz w:val="22"/>
          <w:szCs w:val="22"/>
        </w:rPr>
        <w:t xml:space="preserve">overwriting </w:t>
      </w:r>
      <w:r w:rsidRPr="000A6194">
        <w:rPr>
          <w:sz w:val="22"/>
          <w:szCs w:val="22"/>
        </w:rPr>
        <w:t>are strictly</w:t>
      </w:r>
      <w:r w:rsidR="00CB5FCB" w:rsidRPr="000A6194">
        <w:rPr>
          <w:sz w:val="22"/>
          <w:szCs w:val="22"/>
        </w:rPr>
        <w:t xml:space="preserve"> forbidden </w:t>
      </w:r>
      <w:r w:rsidRPr="000A6194">
        <w:rPr>
          <w:sz w:val="22"/>
          <w:szCs w:val="22"/>
        </w:rPr>
        <w:t>unless duly</w:t>
      </w:r>
      <w:r w:rsidR="00CB5FCB" w:rsidRPr="000A6194">
        <w:rPr>
          <w:sz w:val="22"/>
          <w:szCs w:val="22"/>
        </w:rPr>
        <w:t xml:space="preserve"> signed</w:t>
      </w:r>
      <w:r w:rsidRPr="000A6194">
        <w:rPr>
          <w:sz w:val="22"/>
          <w:szCs w:val="22"/>
        </w:rPr>
        <w:t>.</w:t>
      </w:r>
    </w:p>
    <w:p w:rsidR="000A6194" w:rsidRPr="007C59BE" w:rsidRDefault="000A6194" w:rsidP="000A6194">
      <w:pPr>
        <w:jc w:val="both"/>
        <w:rPr>
          <w:sz w:val="12"/>
          <w:szCs w:val="22"/>
        </w:rPr>
      </w:pPr>
    </w:p>
    <w:p w:rsidR="005C3EB7" w:rsidRPr="000A6194" w:rsidRDefault="004131D0" w:rsidP="000A6194">
      <w:pPr>
        <w:jc w:val="both"/>
        <w:rPr>
          <w:sz w:val="22"/>
          <w:szCs w:val="22"/>
        </w:rPr>
      </w:pPr>
      <w:r w:rsidRPr="000A6194">
        <w:rPr>
          <w:sz w:val="22"/>
          <w:szCs w:val="22"/>
        </w:rPr>
        <w:t>T</w:t>
      </w:r>
      <w:r w:rsidR="009A7F03" w:rsidRPr="000A6194">
        <w:rPr>
          <w:sz w:val="22"/>
          <w:szCs w:val="22"/>
        </w:rPr>
        <w:t xml:space="preserve">he following </w:t>
      </w:r>
      <w:r w:rsidRPr="000A6194">
        <w:rPr>
          <w:sz w:val="22"/>
          <w:szCs w:val="22"/>
        </w:rPr>
        <w:t xml:space="preserve">information/documents </w:t>
      </w:r>
      <w:r w:rsidR="005C3EB7" w:rsidRPr="000A6194">
        <w:rPr>
          <w:sz w:val="22"/>
          <w:szCs w:val="22"/>
        </w:rPr>
        <w:t>to</w:t>
      </w:r>
      <w:r w:rsidRPr="000A6194">
        <w:rPr>
          <w:sz w:val="22"/>
          <w:szCs w:val="22"/>
        </w:rPr>
        <w:t xml:space="preserve"> be </w:t>
      </w:r>
      <w:r w:rsidR="005C3EB7" w:rsidRPr="000A6194">
        <w:rPr>
          <w:sz w:val="22"/>
          <w:szCs w:val="22"/>
        </w:rPr>
        <w:t>furnished:</w:t>
      </w:r>
    </w:p>
    <w:p w:rsidR="00690C5D" w:rsidRPr="001D06D5" w:rsidRDefault="009A7F03" w:rsidP="000A6194">
      <w:pPr>
        <w:rPr>
          <w:sz w:val="10"/>
          <w:szCs w:val="22"/>
        </w:rPr>
      </w:pPr>
      <w:r w:rsidRPr="000A6194">
        <w:rPr>
          <w:sz w:val="22"/>
          <w:szCs w:val="22"/>
        </w:rPr>
        <w:t xml:space="preserve"> </w:t>
      </w:r>
    </w:p>
    <w:p w:rsidR="00C57261" w:rsidRPr="000A6194" w:rsidRDefault="00FC6778" w:rsidP="000A619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0A6194">
        <w:rPr>
          <w:sz w:val="22"/>
          <w:szCs w:val="22"/>
        </w:rPr>
        <w:t>Legal status of firm, the registration of firm/company with documentary evidence.</w:t>
      </w:r>
    </w:p>
    <w:p w:rsidR="000A6194" w:rsidRPr="001D06D5" w:rsidRDefault="000A6194" w:rsidP="000A6194">
      <w:pPr>
        <w:pStyle w:val="ListParagraph"/>
        <w:jc w:val="both"/>
        <w:rPr>
          <w:sz w:val="10"/>
          <w:szCs w:val="22"/>
        </w:rPr>
      </w:pPr>
    </w:p>
    <w:p w:rsidR="008E35CE" w:rsidRPr="000A6194" w:rsidRDefault="008E35CE" w:rsidP="000A619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0A6194">
        <w:rPr>
          <w:sz w:val="22"/>
          <w:szCs w:val="22"/>
        </w:rPr>
        <w:t>Registration with Income Tax Department, NTN Certificate, Tax Assessment orders for previous 3 years.</w:t>
      </w:r>
    </w:p>
    <w:p w:rsidR="000A6194" w:rsidRPr="001D06D5" w:rsidRDefault="000A6194" w:rsidP="000A6194">
      <w:pPr>
        <w:pStyle w:val="ListParagraph"/>
        <w:jc w:val="both"/>
        <w:rPr>
          <w:sz w:val="10"/>
          <w:szCs w:val="22"/>
        </w:rPr>
      </w:pPr>
    </w:p>
    <w:p w:rsidR="00C57261" w:rsidRPr="000A6194" w:rsidRDefault="00C57261" w:rsidP="000A619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0A6194">
        <w:rPr>
          <w:sz w:val="22"/>
          <w:szCs w:val="22"/>
        </w:rPr>
        <w:t>Affidavit</w:t>
      </w:r>
      <w:r w:rsidR="008E35CE" w:rsidRPr="000A6194">
        <w:rPr>
          <w:sz w:val="22"/>
          <w:szCs w:val="22"/>
        </w:rPr>
        <w:t>: Undertaking on stamp paper that firm is not involved in litigation and have not been black listed by any Executing Agency, previously.</w:t>
      </w:r>
    </w:p>
    <w:p w:rsidR="000A6194" w:rsidRPr="001D06D5" w:rsidRDefault="000A6194" w:rsidP="000A6194">
      <w:pPr>
        <w:pStyle w:val="ListParagraph"/>
        <w:jc w:val="both"/>
        <w:rPr>
          <w:sz w:val="10"/>
          <w:szCs w:val="22"/>
        </w:rPr>
      </w:pPr>
    </w:p>
    <w:p w:rsidR="00C57261" w:rsidRPr="000A6194" w:rsidRDefault="008E35CE" w:rsidP="000A619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0A6194">
        <w:rPr>
          <w:sz w:val="22"/>
          <w:szCs w:val="22"/>
        </w:rPr>
        <w:t>Affidavit to the effect that all documents/particulars/information furnished is true and correct.</w:t>
      </w:r>
    </w:p>
    <w:p w:rsidR="000A6194" w:rsidRPr="001D06D5" w:rsidRDefault="000A6194" w:rsidP="000A6194">
      <w:pPr>
        <w:pStyle w:val="ListParagraph"/>
        <w:jc w:val="both"/>
        <w:rPr>
          <w:sz w:val="10"/>
          <w:szCs w:val="22"/>
        </w:rPr>
      </w:pPr>
    </w:p>
    <w:p w:rsidR="008E35CE" w:rsidRPr="000A6194" w:rsidRDefault="008E35CE" w:rsidP="000A619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0A6194">
        <w:rPr>
          <w:sz w:val="22"/>
          <w:szCs w:val="22"/>
        </w:rPr>
        <w:t xml:space="preserve">The information/documents regarding technical submittal required </w:t>
      </w:r>
      <w:r w:rsidR="00426AB7">
        <w:rPr>
          <w:sz w:val="22"/>
          <w:szCs w:val="22"/>
        </w:rPr>
        <w:t>as per</w:t>
      </w:r>
      <w:r w:rsidRPr="000A6194">
        <w:rPr>
          <w:sz w:val="22"/>
          <w:szCs w:val="22"/>
        </w:rPr>
        <w:t xml:space="preserve"> Instructions to Tenderers.</w:t>
      </w:r>
    </w:p>
    <w:p w:rsidR="007E6D2B" w:rsidRPr="007C59BE" w:rsidRDefault="007E6D2B" w:rsidP="000A6194">
      <w:pPr>
        <w:jc w:val="both"/>
        <w:rPr>
          <w:sz w:val="12"/>
          <w:szCs w:val="22"/>
        </w:rPr>
      </w:pPr>
    </w:p>
    <w:p w:rsidR="00C57261" w:rsidRPr="000A6194" w:rsidRDefault="009A7F03" w:rsidP="00CF7842">
      <w:pPr>
        <w:jc w:val="both"/>
        <w:rPr>
          <w:sz w:val="22"/>
          <w:szCs w:val="22"/>
        </w:rPr>
      </w:pPr>
      <w:r w:rsidRPr="000A6194">
        <w:rPr>
          <w:sz w:val="22"/>
          <w:szCs w:val="22"/>
        </w:rPr>
        <w:t>The tenders sha</w:t>
      </w:r>
      <w:r w:rsidR="00A81504" w:rsidRPr="000A6194">
        <w:rPr>
          <w:sz w:val="22"/>
          <w:szCs w:val="22"/>
        </w:rPr>
        <w:t>ll be evaluated on the basis of criteria mentioned in Instructions to Tenderers.</w:t>
      </w:r>
      <w:r w:rsidRPr="000A6194">
        <w:rPr>
          <w:sz w:val="22"/>
          <w:szCs w:val="22"/>
        </w:rPr>
        <w:t xml:space="preserve"> </w:t>
      </w:r>
      <w:r w:rsidR="00C57261" w:rsidRPr="000A6194">
        <w:rPr>
          <w:sz w:val="22"/>
          <w:szCs w:val="22"/>
        </w:rPr>
        <w:t>The detail of works is as under:-</w:t>
      </w:r>
    </w:p>
    <w:p w:rsidR="00CB5FCB" w:rsidRPr="00CF7842" w:rsidRDefault="00CB5FCB" w:rsidP="000A6194">
      <w:pPr>
        <w:rPr>
          <w:b/>
          <w:sz w:val="10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6030"/>
        <w:gridCol w:w="1890"/>
      </w:tblGrid>
      <w:tr w:rsidR="00CB5FCB" w:rsidRPr="000A6194" w:rsidTr="00E72710">
        <w:tc>
          <w:tcPr>
            <w:tcW w:w="1368" w:type="dxa"/>
          </w:tcPr>
          <w:p w:rsidR="00CB5FCB" w:rsidRPr="00F447B2" w:rsidRDefault="00CB5FCB" w:rsidP="00F447B2">
            <w:pPr>
              <w:jc w:val="center"/>
              <w:rPr>
                <w:b/>
                <w:sz w:val="22"/>
                <w:szCs w:val="22"/>
              </w:rPr>
            </w:pPr>
            <w:r w:rsidRPr="00F447B2">
              <w:rPr>
                <w:b/>
                <w:sz w:val="22"/>
                <w:szCs w:val="22"/>
              </w:rPr>
              <w:t>Package #</w:t>
            </w:r>
          </w:p>
        </w:tc>
        <w:tc>
          <w:tcPr>
            <w:tcW w:w="6030" w:type="dxa"/>
          </w:tcPr>
          <w:p w:rsidR="00CB5FCB" w:rsidRPr="00F447B2" w:rsidRDefault="00CB5FCB" w:rsidP="00F447B2">
            <w:pPr>
              <w:jc w:val="center"/>
              <w:rPr>
                <w:b/>
                <w:sz w:val="22"/>
                <w:szCs w:val="22"/>
              </w:rPr>
            </w:pPr>
            <w:r w:rsidRPr="00F447B2">
              <w:rPr>
                <w:b/>
                <w:sz w:val="22"/>
                <w:szCs w:val="22"/>
              </w:rPr>
              <w:t>Name of work</w:t>
            </w:r>
          </w:p>
        </w:tc>
        <w:tc>
          <w:tcPr>
            <w:tcW w:w="1890" w:type="dxa"/>
          </w:tcPr>
          <w:p w:rsidR="00CB5FCB" w:rsidRPr="00F447B2" w:rsidRDefault="00CB5FCB" w:rsidP="00F447B2">
            <w:pPr>
              <w:jc w:val="center"/>
              <w:rPr>
                <w:b/>
                <w:sz w:val="22"/>
                <w:szCs w:val="22"/>
              </w:rPr>
            </w:pPr>
            <w:r w:rsidRPr="00F447B2">
              <w:rPr>
                <w:b/>
                <w:sz w:val="22"/>
                <w:szCs w:val="22"/>
              </w:rPr>
              <w:t>Estimated Cost</w:t>
            </w:r>
          </w:p>
        </w:tc>
      </w:tr>
      <w:tr w:rsidR="00CB5FCB" w:rsidRPr="000A6194" w:rsidTr="00E72710">
        <w:tc>
          <w:tcPr>
            <w:tcW w:w="1368" w:type="dxa"/>
            <w:vAlign w:val="center"/>
          </w:tcPr>
          <w:p w:rsidR="00CB5FCB" w:rsidRPr="00F447B2" w:rsidRDefault="00C63727" w:rsidP="00F447B2">
            <w:pPr>
              <w:jc w:val="center"/>
              <w:rPr>
                <w:b/>
                <w:sz w:val="22"/>
                <w:szCs w:val="22"/>
              </w:rPr>
            </w:pPr>
            <w:r w:rsidRPr="00F447B2">
              <w:rPr>
                <w:b/>
                <w:sz w:val="22"/>
                <w:szCs w:val="22"/>
              </w:rPr>
              <w:t>ELV-C</w:t>
            </w:r>
          </w:p>
        </w:tc>
        <w:tc>
          <w:tcPr>
            <w:tcW w:w="6030" w:type="dxa"/>
          </w:tcPr>
          <w:p w:rsidR="00CB5FCB" w:rsidRPr="00F447B2" w:rsidRDefault="00CB5FCB" w:rsidP="004B6898">
            <w:pPr>
              <w:jc w:val="both"/>
              <w:rPr>
                <w:sz w:val="22"/>
                <w:szCs w:val="22"/>
              </w:rPr>
            </w:pPr>
            <w:r w:rsidRPr="00F447B2">
              <w:rPr>
                <w:sz w:val="22"/>
                <w:szCs w:val="22"/>
              </w:rPr>
              <w:t>Supply, Installation, testing and commissioning of (02 Nos.) fully imported Passenger and (01 Nos.) semi imported Cargo elevator including all accessories, facilities as per specifications.</w:t>
            </w:r>
          </w:p>
        </w:tc>
        <w:tc>
          <w:tcPr>
            <w:tcW w:w="1890" w:type="dxa"/>
            <w:vAlign w:val="center"/>
          </w:tcPr>
          <w:p w:rsidR="00CB5FCB" w:rsidRPr="00F447B2" w:rsidRDefault="006D7363" w:rsidP="00E72710">
            <w:pPr>
              <w:jc w:val="center"/>
              <w:rPr>
                <w:sz w:val="22"/>
                <w:szCs w:val="22"/>
              </w:rPr>
            </w:pPr>
            <w:r w:rsidRPr="00F447B2">
              <w:rPr>
                <w:sz w:val="22"/>
                <w:szCs w:val="22"/>
              </w:rPr>
              <w:t xml:space="preserve">Rs. </w:t>
            </w:r>
            <w:r w:rsidR="00E72710">
              <w:rPr>
                <w:sz w:val="22"/>
                <w:szCs w:val="22"/>
              </w:rPr>
              <w:t>12</w:t>
            </w:r>
            <w:r w:rsidR="007C7673" w:rsidRPr="00F447B2">
              <w:rPr>
                <w:sz w:val="22"/>
                <w:szCs w:val="22"/>
              </w:rPr>
              <w:t>.00 Million</w:t>
            </w:r>
          </w:p>
        </w:tc>
      </w:tr>
    </w:tbl>
    <w:p w:rsidR="00CF7842" w:rsidRPr="00CF7842" w:rsidRDefault="00CF7842" w:rsidP="000A6194">
      <w:pPr>
        <w:jc w:val="both"/>
        <w:rPr>
          <w:sz w:val="10"/>
          <w:szCs w:val="22"/>
        </w:rPr>
      </w:pPr>
    </w:p>
    <w:p w:rsidR="00331F66" w:rsidRPr="000A6194" w:rsidRDefault="00875DFF" w:rsidP="000A6194">
      <w:pPr>
        <w:jc w:val="both"/>
        <w:rPr>
          <w:sz w:val="22"/>
          <w:szCs w:val="22"/>
        </w:rPr>
      </w:pPr>
      <w:r w:rsidRPr="000A6194">
        <w:rPr>
          <w:sz w:val="22"/>
          <w:szCs w:val="22"/>
        </w:rPr>
        <w:t xml:space="preserve">The works </w:t>
      </w:r>
      <w:r w:rsidR="009C5D98">
        <w:rPr>
          <w:sz w:val="22"/>
          <w:szCs w:val="22"/>
        </w:rPr>
        <w:t xml:space="preserve">of cargo elevator </w:t>
      </w:r>
      <w:r w:rsidRPr="000A6194">
        <w:rPr>
          <w:sz w:val="22"/>
          <w:szCs w:val="22"/>
        </w:rPr>
        <w:t xml:space="preserve">are to be completed within </w:t>
      </w:r>
      <w:r w:rsidR="00BF55E5">
        <w:rPr>
          <w:sz w:val="22"/>
          <w:szCs w:val="22"/>
        </w:rPr>
        <w:t>nine</w:t>
      </w:r>
      <w:r w:rsidR="007C7673" w:rsidRPr="000A6194">
        <w:rPr>
          <w:sz w:val="22"/>
          <w:szCs w:val="22"/>
        </w:rPr>
        <w:t>ty (</w:t>
      </w:r>
      <w:r w:rsidR="00BF55E5">
        <w:rPr>
          <w:sz w:val="22"/>
          <w:szCs w:val="22"/>
        </w:rPr>
        <w:t>9</w:t>
      </w:r>
      <w:r w:rsidR="007C7673" w:rsidRPr="000A6194">
        <w:rPr>
          <w:sz w:val="22"/>
          <w:szCs w:val="22"/>
        </w:rPr>
        <w:t>0)</w:t>
      </w:r>
      <w:r w:rsidRPr="000A6194">
        <w:rPr>
          <w:sz w:val="22"/>
          <w:szCs w:val="22"/>
        </w:rPr>
        <w:t xml:space="preserve"> </w:t>
      </w:r>
      <w:r w:rsidR="007C7673" w:rsidRPr="000A6194">
        <w:rPr>
          <w:sz w:val="22"/>
          <w:szCs w:val="22"/>
        </w:rPr>
        <w:t>days</w:t>
      </w:r>
      <w:r w:rsidRPr="000A6194">
        <w:rPr>
          <w:sz w:val="22"/>
          <w:szCs w:val="22"/>
        </w:rPr>
        <w:t xml:space="preserve"> </w:t>
      </w:r>
      <w:r w:rsidR="009C5D98">
        <w:rPr>
          <w:sz w:val="22"/>
          <w:szCs w:val="22"/>
        </w:rPr>
        <w:t xml:space="preserve">and of Passenger elevators within one hundred &amp; twenty (120) days </w:t>
      </w:r>
      <w:r w:rsidRPr="000A6194">
        <w:rPr>
          <w:sz w:val="22"/>
          <w:szCs w:val="22"/>
        </w:rPr>
        <w:t xml:space="preserve">from the date of </w:t>
      </w:r>
      <w:r w:rsidR="004861A8">
        <w:rPr>
          <w:sz w:val="22"/>
          <w:szCs w:val="22"/>
        </w:rPr>
        <w:t>commencement</w:t>
      </w:r>
      <w:r w:rsidRPr="000A6194">
        <w:rPr>
          <w:sz w:val="22"/>
          <w:szCs w:val="22"/>
        </w:rPr>
        <w:t xml:space="preserve"> of works</w:t>
      </w:r>
      <w:r w:rsidR="00C57261" w:rsidRPr="000A6194">
        <w:rPr>
          <w:sz w:val="22"/>
          <w:szCs w:val="22"/>
        </w:rPr>
        <w:t>.</w:t>
      </w:r>
      <w:r w:rsidR="006773FB" w:rsidRPr="000A6194">
        <w:rPr>
          <w:sz w:val="22"/>
          <w:szCs w:val="22"/>
        </w:rPr>
        <w:t xml:space="preserve"> The </w:t>
      </w:r>
      <w:r w:rsidR="002674C2" w:rsidRPr="000A6194">
        <w:rPr>
          <w:sz w:val="22"/>
          <w:szCs w:val="22"/>
        </w:rPr>
        <w:t>owner reserves</w:t>
      </w:r>
      <w:r w:rsidR="006773FB" w:rsidRPr="000A6194">
        <w:rPr>
          <w:sz w:val="22"/>
          <w:szCs w:val="22"/>
        </w:rPr>
        <w:t xml:space="preserve"> the right to accept or reject any or all the tenders</w:t>
      </w:r>
      <w:r w:rsidR="00F45F46" w:rsidRPr="000A6194">
        <w:rPr>
          <w:sz w:val="22"/>
          <w:szCs w:val="22"/>
        </w:rPr>
        <w:t>.</w:t>
      </w:r>
      <w:r w:rsidR="00776408" w:rsidRPr="000A6194">
        <w:rPr>
          <w:sz w:val="22"/>
          <w:szCs w:val="22"/>
        </w:rPr>
        <w:t xml:space="preserve"> </w:t>
      </w:r>
      <w:r w:rsidR="00331F66" w:rsidRPr="000A6194">
        <w:rPr>
          <w:sz w:val="22"/>
          <w:szCs w:val="22"/>
        </w:rPr>
        <w:t xml:space="preserve">The tender documents can be obtained personally during working </w:t>
      </w:r>
      <w:r w:rsidR="00DB59F1">
        <w:rPr>
          <w:sz w:val="22"/>
          <w:szCs w:val="22"/>
        </w:rPr>
        <w:t>hours</w:t>
      </w:r>
      <w:r w:rsidR="00331F66" w:rsidRPr="000A6194">
        <w:rPr>
          <w:sz w:val="22"/>
          <w:szCs w:val="22"/>
        </w:rPr>
        <w:t xml:space="preserve"> (Monday-Friday</w:t>
      </w:r>
      <w:r w:rsidR="00DB59F1">
        <w:rPr>
          <w:sz w:val="22"/>
          <w:szCs w:val="22"/>
        </w:rPr>
        <w:t>)</w:t>
      </w:r>
      <w:r w:rsidR="00331F66" w:rsidRPr="000A6194">
        <w:rPr>
          <w:sz w:val="22"/>
          <w:szCs w:val="22"/>
        </w:rPr>
        <w:t xml:space="preserve"> from the under noted address </w:t>
      </w:r>
      <w:r w:rsidR="006D7363" w:rsidRPr="000A6194">
        <w:rPr>
          <w:sz w:val="22"/>
          <w:szCs w:val="22"/>
        </w:rPr>
        <w:t>against payment of Rs.</w:t>
      </w:r>
      <w:r w:rsidR="006402F8" w:rsidRPr="000A6194">
        <w:rPr>
          <w:sz w:val="22"/>
          <w:szCs w:val="22"/>
        </w:rPr>
        <w:t>3</w:t>
      </w:r>
      <w:r w:rsidR="00400EDB">
        <w:rPr>
          <w:sz w:val="22"/>
          <w:szCs w:val="22"/>
        </w:rPr>
        <w:t>,</w:t>
      </w:r>
      <w:r w:rsidR="006D7363" w:rsidRPr="000A6194">
        <w:rPr>
          <w:sz w:val="22"/>
          <w:szCs w:val="22"/>
        </w:rPr>
        <w:t>000</w:t>
      </w:r>
      <w:r w:rsidR="001A61FC">
        <w:rPr>
          <w:sz w:val="22"/>
          <w:szCs w:val="22"/>
        </w:rPr>
        <w:t>/-</w:t>
      </w:r>
      <w:r w:rsidR="006D7363" w:rsidRPr="000A6194">
        <w:rPr>
          <w:sz w:val="22"/>
          <w:szCs w:val="22"/>
        </w:rPr>
        <w:t xml:space="preserve"> in cash.</w:t>
      </w:r>
      <w:r w:rsidR="00331F66" w:rsidRPr="000A6194">
        <w:rPr>
          <w:sz w:val="22"/>
          <w:szCs w:val="22"/>
        </w:rPr>
        <w:t xml:space="preserve"> No tender shall be sold on the date of opening of tenders. </w:t>
      </w:r>
    </w:p>
    <w:p w:rsidR="00576221" w:rsidRPr="000A6194" w:rsidRDefault="00576221" w:rsidP="000A6194">
      <w:pPr>
        <w:jc w:val="both"/>
        <w:rPr>
          <w:sz w:val="22"/>
          <w:szCs w:val="22"/>
        </w:rPr>
      </w:pPr>
    </w:p>
    <w:p w:rsidR="00B322A9" w:rsidRDefault="00B322A9" w:rsidP="00B322A9">
      <w:pPr>
        <w:ind w:left="4320"/>
        <w:jc w:val="center"/>
        <w:rPr>
          <w:sz w:val="22"/>
          <w:szCs w:val="22"/>
        </w:rPr>
      </w:pPr>
      <w:r>
        <w:rPr>
          <w:sz w:val="22"/>
          <w:szCs w:val="22"/>
        </w:rPr>
        <w:t>PROJECT ENGINEER</w:t>
      </w:r>
    </w:p>
    <w:p w:rsidR="00B322A9" w:rsidRDefault="00B322A9" w:rsidP="00B322A9">
      <w:pPr>
        <w:ind w:left="4320"/>
        <w:jc w:val="center"/>
        <w:rPr>
          <w:sz w:val="22"/>
          <w:szCs w:val="22"/>
        </w:rPr>
      </w:pPr>
      <w:r>
        <w:rPr>
          <w:sz w:val="22"/>
          <w:szCs w:val="22"/>
        </w:rPr>
        <w:t>LAHORE GARMENT CITY COMPANY</w:t>
      </w:r>
    </w:p>
    <w:p w:rsidR="00B322A9" w:rsidRDefault="00B322A9" w:rsidP="00B322A9">
      <w:pPr>
        <w:ind w:left="4320"/>
        <w:jc w:val="center"/>
        <w:rPr>
          <w:sz w:val="22"/>
          <w:szCs w:val="22"/>
        </w:rPr>
      </w:pPr>
      <w:r>
        <w:rPr>
          <w:sz w:val="22"/>
          <w:szCs w:val="22"/>
        </w:rPr>
        <w:t>132-P, Gulberg-II, Lahore</w:t>
      </w:r>
    </w:p>
    <w:p w:rsidR="005343C7" w:rsidRPr="000A6194" w:rsidRDefault="00B322A9" w:rsidP="000A6194">
      <w:pPr>
        <w:ind w:left="4320"/>
        <w:jc w:val="center"/>
        <w:rPr>
          <w:sz w:val="22"/>
          <w:szCs w:val="22"/>
        </w:rPr>
      </w:pPr>
      <w:r>
        <w:rPr>
          <w:sz w:val="22"/>
          <w:szCs w:val="22"/>
        </w:rPr>
        <w:t>Phone: 35870658-9</w:t>
      </w:r>
    </w:p>
    <w:sectPr w:rsidR="005343C7" w:rsidRPr="000A6194" w:rsidSect="000A6194">
      <w:pgSz w:w="12240" w:h="15840"/>
      <w:pgMar w:top="360" w:right="1152" w:bottom="432" w:left="201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8462C"/>
    <w:multiLevelType w:val="hybridMultilevel"/>
    <w:tmpl w:val="7B0AC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D2ABE"/>
    <w:multiLevelType w:val="hybridMultilevel"/>
    <w:tmpl w:val="ADCE370A"/>
    <w:lvl w:ilvl="0" w:tplc="0292E4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663D8"/>
    <w:multiLevelType w:val="hybridMultilevel"/>
    <w:tmpl w:val="476ECE5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77F11A63"/>
    <w:multiLevelType w:val="hybridMultilevel"/>
    <w:tmpl w:val="E21A9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90C5D"/>
    <w:rsid w:val="00001816"/>
    <w:rsid w:val="00002BBC"/>
    <w:rsid w:val="00057B02"/>
    <w:rsid w:val="00086413"/>
    <w:rsid w:val="000A2D28"/>
    <w:rsid w:val="000A6194"/>
    <w:rsid w:val="000A642C"/>
    <w:rsid w:val="001128EC"/>
    <w:rsid w:val="00114676"/>
    <w:rsid w:val="00116F9F"/>
    <w:rsid w:val="00120869"/>
    <w:rsid w:val="00133309"/>
    <w:rsid w:val="00146BF0"/>
    <w:rsid w:val="00167A05"/>
    <w:rsid w:val="00183DB7"/>
    <w:rsid w:val="001A61FC"/>
    <w:rsid w:val="001C6A17"/>
    <w:rsid w:val="001D06D5"/>
    <w:rsid w:val="001E65C8"/>
    <w:rsid w:val="001F39F7"/>
    <w:rsid w:val="001F3BA1"/>
    <w:rsid w:val="00223AC6"/>
    <w:rsid w:val="002558BC"/>
    <w:rsid w:val="0026408C"/>
    <w:rsid w:val="002674C2"/>
    <w:rsid w:val="00274B25"/>
    <w:rsid w:val="002E20F9"/>
    <w:rsid w:val="002E42CD"/>
    <w:rsid w:val="003031B9"/>
    <w:rsid w:val="003061EC"/>
    <w:rsid w:val="00306AC6"/>
    <w:rsid w:val="00331F66"/>
    <w:rsid w:val="003542E6"/>
    <w:rsid w:val="0039310A"/>
    <w:rsid w:val="00400EDB"/>
    <w:rsid w:val="004131D0"/>
    <w:rsid w:val="00413728"/>
    <w:rsid w:val="004153B4"/>
    <w:rsid w:val="004238DB"/>
    <w:rsid w:val="00426AB7"/>
    <w:rsid w:val="00443E71"/>
    <w:rsid w:val="004452A0"/>
    <w:rsid w:val="004464EB"/>
    <w:rsid w:val="004645BB"/>
    <w:rsid w:val="00465BE1"/>
    <w:rsid w:val="0046749A"/>
    <w:rsid w:val="004861A8"/>
    <w:rsid w:val="004B2CE1"/>
    <w:rsid w:val="004B6898"/>
    <w:rsid w:val="004B7C53"/>
    <w:rsid w:val="004C4C1A"/>
    <w:rsid w:val="004F7CF8"/>
    <w:rsid w:val="005343C7"/>
    <w:rsid w:val="00571ACE"/>
    <w:rsid w:val="00576221"/>
    <w:rsid w:val="005B6A13"/>
    <w:rsid w:val="005C3EB7"/>
    <w:rsid w:val="005E683C"/>
    <w:rsid w:val="006402F8"/>
    <w:rsid w:val="00657156"/>
    <w:rsid w:val="006634C5"/>
    <w:rsid w:val="006773FB"/>
    <w:rsid w:val="00680C5C"/>
    <w:rsid w:val="00690C5D"/>
    <w:rsid w:val="006B24C4"/>
    <w:rsid w:val="006D7363"/>
    <w:rsid w:val="00705F62"/>
    <w:rsid w:val="007065AB"/>
    <w:rsid w:val="00714B8C"/>
    <w:rsid w:val="00726182"/>
    <w:rsid w:val="0073086A"/>
    <w:rsid w:val="00776408"/>
    <w:rsid w:val="0077759C"/>
    <w:rsid w:val="007977F4"/>
    <w:rsid w:val="007C59BE"/>
    <w:rsid w:val="007C7673"/>
    <w:rsid w:val="007E6D2B"/>
    <w:rsid w:val="008073B6"/>
    <w:rsid w:val="0087247E"/>
    <w:rsid w:val="00875DFF"/>
    <w:rsid w:val="008B1FBD"/>
    <w:rsid w:val="008B3E8E"/>
    <w:rsid w:val="008E35CE"/>
    <w:rsid w:val="008E7E43"/>
    <w:rsid w:val="00911DD7"/>
    <w:rsid w:val="009463E5"/>
    <w:rsid w:val="00964F57"/>
    <w:rsid w:val="009839AE"/>
    <w:rsid w:val="009A7F03"/>
    <w:rsid w:val="009C5D98"/>
    <w:rsid w:val="009D2941"/>
    <w:rsid w:val="009E3113"/>
    <w:rsid w:val="009F26AE"/>
    <w:rsid w:val="00A062CE"/>
    <w:rsid w:val="00A15A92"/>
    <w:rsid w:val="00A207DD"/>
    <w:rsid w:val="00A23AB7"/>
    <w:rsid w:val="00A43333"/>
    <w:rsid w:val="00A67691"/>
    <w:rsid w:val="00A81504"/>
    <w:rsid w:val="00AA58FD"/>
    <w:rsid w:val="00AA66E1"/>
    <w:rsid w:val="00AB5266"/>
    <w:rsid w:val="00AE7DD2"/>
    <w:rsid w:val="00B11B40"/>
    <w:rsid w:val="00B322A9"/>
    <w:rsid w:val="00B50789"/>
    <w:rsid w:val="00B64177"/>
    <w:rsid w:val="00B96F1E"/>
    <w:rsid w:val="00BE0786"/>
    <w:rsid w:val="00BE6BB6"/>
    <w:rsid w:val="00BF55E5"/>
    <w:rsid w:val="00C031A3"/>
    <w:rsid w:val="00C11493"/>
    <w:rsid w:val="00C135B9"/>
    <w:rsid w:val="00C57261"/>
    <w:rsid w:val="00C63727"/>
    <w:rsid w:val="00C65E2F"/>
    <w:rsid w:val="00C75A2C"/>
    <w:rsid w:val="00CA20E4"/>
    <w:rsid w:val="00CB5FCB"/>
    <w:rsid w:val="00CC2A7A"/>
    <w:rsid w:val="00CE069F"/>
    <w:rsid w:val="00CF4770"/>
    <w:rsid w:val="00CF7842"/>
    <w:rsid w:val="00D07083"/>
    <w:rsid w:val="00D1020D"/>
    <w:rsid w:val="00D157D6"/>
    <w:rsid w:val="00D3257D"/>
    <w:rsid w:val="00D53D9F"/>
    <w:rsid w:val="00D7653D"/>
    <w:rsid w:val="00D77E91"/>
    <w:rsid w:val="00DB59F1"/>
    <w:rsid w:val="00DD3FA6"/>
    <w:rsid w:val="00DE7802"/>
    <w:rsid w:val="00DF60D5"/>
    <w:rsid w:val="00E15F70"/>
    <w:rsid w:val="00E30954"/>
    <w:rsid w:val="00E33A83"/>
    <w:rsid w:val="00E33E57"/>
    <w:rsid w:val="00E64878"/>
    <w:rsid w:val="00E72710"/>
    <w:rsid w:val="00E85574"/>
    <w:rsid w:val="00E96EB9"/>
    <w:rsid w:val="00E97065"/>
    <w:rsid w:val="00EA18DB"/>
    <w:rsid w:val="00EB059D"/>
    <w:rsid w:val="00EF4A04"/>
    <w:rsid w:val="00F447B2"/>
    <w:rsid w:val="00F45F46"/>
    <w:rsid w:val="00F73D69"/>
    <w:rsid w:val="00F84888"/>
    <w:rsid w:val="00F85680"/>
    <w:rsid w:val="00FA7E7D"/>
    <w:rsid w:val="00FB09C1"/>
    <w:rsid w:val="00FC6778"/>
    <w:rsid w:val="00FD1D22"/>
    <w:rsid w:val="00FF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261"/>
    <w:pPr>
      <w:ind w:left="720"/>
      <w:contextualSpacing/>
    </w:pPr>
  </w:style>
  <w:style w:type="table" w:styleId="TableGrid">
    <w:name w:val="Table Grid"/>
    <w:basedOn w:val="TableNormal"/>
    <w:uiPriority w:val="59"/>
    <w:rsid w:val="00CB5F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1F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Lahore Garment City Company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ghulam</dc:creator>
  <cp:keywords/>
  <dc:description/>
  <cp:lastModifiedBy>secretary</cp:lastModifiedBy>
  <cp:revision>2</cp:revision>
  <cp:lastPrinted>2014-07-23T09:07:00Z</cp:lastPrinted>
  <dcterms:created xsi:type="dcterms:W3CDTF">2014-11-21T07:57:00Z</dcterms:created>
  <dcterms:modified xsi:type="dcterms:W3CDTF">2014-11-21T07:57:00Z</dcterms:modified>
</cp:coreProperties>
</file>